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82" w:rsidRPr="00352F82" w:rsidRDefault="00352F82" w:rsidP="00352F82">
      <w:pPr>
        <w:shd w:val="clear" w:color="auto" w:fill="FFFFFF"/>
        <w:spacing w:after="225" w:line="240" w:lineRule="auto"/>
        <w:jc w:val="center"/>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1"/>
          <w:szCs w:val="21"/>
          <w:lang w:eastAsia="el-GR"/>
        </w:rPr>
        <w:t>  </w:t>
      </w:r>
    </w:p>
    <w:tbl>
      <w:tblPr>
        <w:tblW w:w="11220" w:type="dxa"/>
        <w:shd w:val="clear" w:color="auto" w:fill="FFFFFF"/>
        <w:tblCellMar>
          <w:top w:w="15" w:type="dxa"/>
          <w:left w:w="15" w:type="dxa"/>
          <w:bottom w:w="15" w:type="dxa"/>
          <w:right w:w="15" w:type="dxa"/>
        </w:tblCellMar>
        <w:tblLook w:val="04A0"/>
      </w:tblPr>
      <w:tblGrid>
        <w:gridCol w:w="5610"/>
        <w:gridCol w:w="5610"/>
      </w:tblGrid>
      <w:tr w:rsidR="00352F82" w:rsidRPr="00352F82" w:rsidTr="00352F82">
        <w:tc>
          <w:tcPr>
            <w:tcW w:w="5580" w:type="dxa"/>
            <w:shd w:val="clear" w:color="auto" w:fill="FFFFFF"/>
            <w:vAlign w:val="center"/>
            <w:hideMark/>
          </w:tcPr>
          <w:p w:rsidR="00352F82" w:rsidRPr="00352F82" w:rsidRDefault="00352F82" w:rsidP="00352F82">
            <w:pPr>
              <w:spacing w:after="0" w:line="240" w:lineRule="auto"/>
              <w:rPr>
                <w:rFonts w:ascii="Helvetica" w:eastAsia="Times New Roman" w:hAnsi="Helvetica" w:cs="Times New Roman"/>
                <w:color w:val="6E6E6E"/>
                <w:sz w:val="21"/>
                <w:szCs w:val="21"/>
                <w:lang w:eastAsia="el-GR"/>
              </w:rPr>
            </w:pPr>
            <w:r>
              <w:rPr>
                <w:rFonts w:ascii="Helvetica" w:eastAsia="Times New Roman" w:hAnsi="Helvetica" w:cs="Times New Roman"/>
                <w:noProof/>
                <w:color w:val="BE1E2D"/>
                <w:sz w:val="21"/>
                <w:szCs w:val="21"/>
                <w:lang w:eastAsia="el-GR"/>
              </w:rPr>
              <w:drawing>
                <wp:anchor distT="0" distB="0" distL="114300" distR="114300" simplePos="0" relativeHeight="251658240" behindDoc="0" locked="0" layoutInCell="1" allowOverlap="1">
                  <wp:simplePos x="0" y="0"/>
                  <wp:positionH relativeFrom="column">
                    <wp:posOffset>3209925</wp:posOffset>
                  </wp:positionH>
                  <wp:positionV relativeFrom="paragraph">
                    <wp:posOffset>-4445</wp:posOffset>
                  </wp:positionV>
                  <wp:extent cx="2381250" cy="542925"/>
                  <wp:effectExtent l="19050" t="0" r="0" b="0"/>
                  <wp:wrapNone/>
                  <wp:docPr id="2" name="Εικόνα 2" descr="dimos mosxatou tavrouLOG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os mosxatou tavrouLOGO">
                            <a:hlinkClick r:id="rId5" tgtFrame="&quot;_blank&quot;"/>
                          </pic:cNvPr>
                          <pic:cNvPicPr>
                            <a:picLocks noChangeAspect="1" noChangeArrowheads="1"/>
                          </pic:cNvPicPr>
                        </pic:nvPicPr>
                        <pic:blipFill>
                          <a:blip r:embed="rId6" cstate="print"/>
                          <a:srcRect/>
                          <a:stretch>
                            <a:fillRect/>
                          </a:stretch>
                        </pic:blipFill>
                        <pic:spPr bwMode="auto">
                          <a:xfrm>
                            <a:off x="0" y="0"/>
                            <a:ext cx="2381250" cy="542925"/>
                          </a:xfrm>
                          <a:prstGeom prst="rect">
                            <a:avLst/>
                          </a:prstGeom>
                          <a:noFill/>
                          <a:ln w="9525">
                            <a:noFill/>
                            <a:miter lim="800000"/>
                            <a:headEnd/>
                            <a:tailEnd/>
                          </a:ln>
                        </pic:spPr>
                      </pic:pic>
                    </a:graphicData>
                  </a:graphic>
                </wp:anchor>
              </w:drawing>
            </w:r>
            <w:r>
              <w:rPr>
                <w:rFonts w:ascii="Helvetica" w:eastAsia="Times New Roman" w:hAnsi="Helvetica" w:cs="Times New Roman"/>
                <w:noProof/>
                <w:color w:val="BE1E2D"/>
                <w:sz w:val="21"/>
                <w:szCs w:val="21"/>
                <w:lang w:eastAsia="el-GR"/>
              </w:rPr>
              <w:drawing>
                <wp:inline distT="0" distB="0" distL="0" distR="0">
                  <wp:extent cx="2381250" cy="647700"/>
                  <wp:effectExtent l="19050" t="0" r="0" b="0"/>
                  <wp:docPr id="1" name="Εικόνα 1" descr="skywalkergr25xronialogo202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walkergr25xronialogo2024">
                            <a:hlinkClick r:id="rId7" tgtFrame="&quot;_blank&quot;"/>
                          </pic:cNvPr>
                          <pic:cNvPicPr>
                            <a:picLocks noChangeAspect="1" noChangeArrowheads="1"/>
                          </pic:cNvPicPr>
                        </pic:nvPicPr>
                        <pic:blipFill>
                          <a:blip r:embed="rId8" cstate="print"/>
                          <a:srcRect/>
                          <a:stretch>
                            <a:fillRect/>
                          </a:stretch>
                        </pic:blipFill>
                        <pic:spPr bwMode="auto">
                          <a:xfrm>
                            <a:off x="0" y="0"/>
                            <a:ext cx="2381250" cy="647700"/>
                          </a:xfrm>
                          <a:prstGeom prst="rect">
                            <a:avLst/>
                          </a:prstGeom>
                          <a:noFill/>
                          <a:ln w="9525">
                            <a:noFill/>
                            <a:miter lim="800000"/>
                            <a:headEnd/>
                            <a:tailEnd/>
                          </a:ln>
                        </pic:spPr>
                      </pic:pic>
                    </a:graphicData>
                  </a:graphic>
                </wp:inline>
              </w:drawing>
            </w:r>
          </w:p>
        </w:tc>
        <w:tc>
          <w:tcPr>
            <w:tcW w:w="5580" w:type="dxa"/>
            <w:shd w:val="clear" w:color="auto" w:fill="FFFFFF"/>
            <w:vAlign w:val="center"/>
            <w:hideMark/>
          </w:tcPr>
          <w:p w:rsidR="00352F82" w:rsidRPr="00352F82" w:rsidRDefault="00352F82" w:rsidP="00352F82">
            <w:pPr>
              <w:spacing w:after="0" w:line="240" w:lineRule="auto"/>
              <w:jc w:val="right"/>
              <w:rPr>
                <w:rFonts w:ascii="Helvetica" w:eastAsia="Times New Roman" w:hAnsi="Helvetica" w:cs="Times New Roman"/>
                <w:color w:val="6E6E6E"/>
                <w:sz w:val="21"/>
                <w:szCs w:val="21"/>
                <w:lang w:eastAsia="el-GR"/>
              </w:rPr>
            </w:pPr>
          </w:p>
        </w:tc>
      </w:tr>
    </w:tbl>
    <w:p w:rsidR="00352F82" w:rsidRDefault="00352F82" w:rsidP="00352F82">
      <w:pPr>
        <w:shd w:val="clear" w:color="auto" w:fill="FFFFFF"/>
        <w:spacing w:after="225" w:line="240" w:lineRule="auto"/>
        <w:rPr>
          <w:rFonts w:ascii="Helvetica" w:eastAsia="Times New Roman" w:hAnsi="Helvetica" w:cs="Times New Roman"/>
          <w:color w:val="6E6E6E"/>
          <w:sz w:val="24"/>
          <w:szCs w:val="24"/>
          <w:lang w:val="en-US" w:eastAsia="el-GR"/>
        </w:rPr>
      </w:pPr>
    </w:p>
    <w:p w:rsidR="00352F82" w:rsidRPr="00352F82" w:rsidRDefault="00352F82" w:rsidP="00352F82">
      <w:pPr>
        <w:shd w:val="clear" w:color="auto" w:fill="FFFFFF"/>
        <w:spacing w:after="225" w:line="240" w:lineRule="auto"/>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Το </w:t>
      </w:r>
      <w:hyperlink r:id="rId9" w:tgtFrame="_blank" w:history="1">
        <w:proofErr w:type="spellStart"/>
        <w:r w:rsidRPr="00352F82">
          <w:rPr>
            <w:rFonts w:ascii="Helvetica" w:eastAsia="Times New Roman" w:hAnsi="Helvetica" w:cs="Times New Roman"/>
            <w:color w:val="6E6E6E"/>
            <w:sz w:val="24"/>
            <w:szCs w:val="24"/>
            <w:lang w:eastAsia="el-GR"/>
          </w:rPr>
          <w:t>skywalker.gr</w:t>
        </w:r>
        <w:proofErr w:type="spellEnd"/>
        <w:r w:rsidRPr="00352F82">
          <w:rPr>
            <w:rFonts w:ascii="Helvetica" w:eastAsia="Times New Roman" w:hAnsi="Helvetica" w:cs="Times New Roman"/>
            <w:color w:val="6E6E6E"/>
            <w:sz w:val="24"/>
            <w:szCs w:val="24"/>
            <w:lang w:eastAsia="el-GR"/>
          </w:rPr>
          <w:t xml:space="preserve"> – Εργασία στην Ελλάδα</w:t>
        </w:r>
      </w:hyperlink>
      <w:r w:rsidRPr="00352F82">
        <w:rPr>
          <w:rFonts w:ascii="Helvetica" w:eastAsia="Times New Roman" w:hAnsi="Helvetica" w:cs="Times New Roman"/>
          <w:color w:val="6E6E6E"/>
          <w:sz w:val="24"/>
          <w:szCs w:val="24"/>
          <w:lang w:eastAsia="el-GR"/>
        </w:rPr>
        <w:t>, σε συνεργασία με τον </w:t>
      </w:r>
      <w:r w:rsidRPr="00352F82">
        <w:rPr>
          <w:rFonts w:ascii="Helvetica" w:eastAsia="Times New Roman" w:hAnsi="Helvetica" w:cs="Times New Roman"/>
          <w:b/>
          <w:bCs/>
          <w:color w:val="6E6E6E"/>
          <w:sz w:val="24"/>
          <w:szCs w:val="24"/>
          <w:lang w:eastAsia="el-GR"/>
        </w:rPr>
        <w:t>Δήμο Μοσχάτου-Ταύρου</w:t>
      </w:r>
      <w:r w:rsidRPr="00352F82">
        <w:rPr>
          <w:rFonts w:ascii="Helvetica" w:eastAsia="Times New Roman" w:hAnsi="Helvetica" w:cs="Times New Roman"/>
          <w:color w:val="6E6E6E"/>
          <w:sz w:val="24"/>
          <w:szCs w:val="24"/>
          <w:lang w:eastAsia="el-GR"/>
        </w:rPr>
        <w:t>, διοργανώνει το σεμινάριο επαγγελματικού προσανατολισμού </w:t>
      </w:r>
      <w:r w:rsidRPr="00352F82">
        <w:rPr>
          <w:rFonts w:ascii="Helvetica" w:eastAsia="Times New Roman" w:hAnsi="Helvetica" w:cs="Times New Roman"/>
          <w:b/>
          <w:bCs/>
          <w:color w:val="6E6E6E"/>
          <w:sz w:val="24"/>
          <w:szCs w:val="24"/>
          <w:lang w:eastAsia="el-GR"/>
        </w:rPr>
        <w:t>#</w:t>
      </w:r>
      <w:proofErr w:type="spellStart"/>
      <w:r w:rsidRPr="00352F82">
        <w:rPr>
          <w:rFonts w:ascii="Helvetica" w:eastAsia="Times New Roman" w:hAnsi="Helvetica" w:cs="Times New Roman"/>
          <w:b/>
          <w:bCs/>
          <w:color w:val="6E6E6E"/>
          <w:sz w:val="24"/>
          <w:szCs w:val="24"/>
          <w:lang w:eastAsia="el-GR"/>
        </w:rPr>
        <w:t>CareerPathYouth</w:t>
      </w:r>
      <w:proofErr w:type="spellEnd"/>
      <w:r w:rsidRPr="00352F82">
        <w:rPr>
          <w:rFonts w:ascii="Helvetica" w:eastAsia="Times New Roman" w:hAnsi="Helvetica" w:cs="Times New Roman"/>
          <w:color w:val="6E6E6E"/>
          <w:sz w:val="24"/>
          <w:szCs w:val="24"/>
          <w:lang w:eastAsia="el-GR"/>
        </w:rPr>
        <w:t>, το οποίο απευθύνεται σε μαθητές της Γ΄ τάξης γενικών λυκείων και θα πραγματοποιηθεί την </w:t>
      </w:r>
      <w:r w:rsidRPr="00352F82">
        <w:rPr>
          <w:rFonts w:ascii="Helvetica" w:eastAsia="Times New Roman" w:hAnsi="Helvetica" w:cs="Times New Roman"/>
          <w:b/>
          <w:bCs/>
          <w:color w:val="6E6E6E"/>
          <w:sz w:val="24"/>
          <w:szCs w:val="24"/>
          <w:lang w:eastAsia="el-GR"/>
        </w:rPr>
        <w:t>Τετάρτη 4 Μαρτίου 2026</w:t>
      </w:r>
      <w:r w:rsidRPr="00352F82">
        <w:rPr>
          <w:rFonts w:ascii="Helvetica" w:eastAsia="Times New Roman" w:hAnsi="Helvetica" w:cs="Times New Roman"/>
          <w:color w:val="6E6E6E"/>
          <w:sz w:val="24"/>
          <w:szCs w:val="24"/>
          <w:lang w:eastAsia="el-GR"/>
        </w:rPr>
        <w:t>, από </w:t>
      </w:r>
      <w:r w:rsidRPr="00352F82">
        <w:rPr>
          <w:rFonts w:ascii="Helvetica" w:eastAsia="Times New Roman" w:hAnsi="Helvetica" w:cs="Times New Roman"/>
          <w:b/>
          <w:bCs/>
          <w:color w:val="6E6E6E"/>
          <w:sz w:val="24"/>
          <w:szCs w:val="24"/>
          <w:lang w:eastAsia="el-GR"/>
        </w:rPr>
        <w:t>10:00 έως 13:00</w:t>
      </w:r>
      <w:r w:rsidRPr="00352F82">
        <w:rPr>
          <w:rFonts w:ascii="Helvetica" w:eastAsia="Times New Roman" w:hAnsi="Helvetica" w:cs="Times New Roman"/>
          <w:color w:val="6E6E6E"/>
          <w:sz w:val="24"/>
          <w:szCs w:val="24"/>
          <w:lang w:eastAsia="el-GR"/>
        </w:rPr>
        <w:t>.</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Η εκπαιδευτική δράση </w:t>
      </w:r>
      <w:r w:rsidRPr="00352F82">
        <w:rPr>
          <w:rFonts w:ascii="Helvetica" w:eastAsia="Times New Roman" w:hAnsi="Helvetica" w:cs="Times New Roman"/>
          <w:b/>
          <w:bCs/>
          <w:color w:val="6E6E6E"/>
          <w:sz w:val="24"/>
          <w:szCs w:val="24"/>
          <w:lang w:eastAsia="el-GR"/>
        </w:rPr>
        <w:t>#</w:t>
      </w:r>
      <w:proofErr w:type="spellStart"/>
      <w:r w:rsidRPr="00352F82">
        <w:rPr>
          <w:rFonts w:ascii="Helvetica" w:eastAsia="Times New Roman" w:hAnsi="Helvetica" w:cs="Times New Roman"/>
          <w:b/>
          <w:bCs/>
          <w:color w:val="6E6E6E"/>
          <w:sz w:val="24"/>
          <w:szCs w:val="24"/>
          <w:lang w:eastAsia="el-GR"/>
        </w:rPr>
        <w:t>CareerPathYouth</w:t>
      </w:r>
      <w:proofErr w:type="spellEnd"/>
      <w:r w:rsidRPr="00352F82">
        <w:rPr>
          <w:rFonts w:ascii="Helvetica" w:eastAsia="Times New Roman" w:hAnsi="Helvetica" w:cs="Times New Roman"/>
          <w:color w:val="6E6E6E"/>
          <w:sz w:val="24"/>
          <w:szCs w:val="24"/>
          <w:lang w:eastAsia="el-GR"/>
        </w:rPr>
        <w:t> θα φιλοξενηθεί στο </w:t>
      </w:r>
      <w:r w:rsidRPr="00352F82">
        <w:rPr>
          <w:rFonts w:ascii="Helvetica" w:eastAsia="Times New Roman" w:hAnsi="Helvetica" w:cs="Times New Roman"/>
          <w:b/>
          <w:bCs/>
          <w:color w:val="6E6E6E"/>
          <w:sz w:val="24"/>
          <w:szCs w:val="24"/>
          <w:lang w:eastAsia="el-GR"/>
        </w:rPr>
        <w:t>Πολιτιστικό Κέντρο «Θεόδωρος Αγγελόπουλος»</w:t>
      </w:r>
      <w:r w:rsidRPr="00352F82">
        <w:rPr>
          <w:rFonts w:ascii="Helvetica" w:eastAsia="Times New Roman" w:hAnsi="Helvetica" w:cs="Times New Roman"/>
          <w:color w:val="6E6E6E"/>
          <w:sz w:val="24"/>
          <w:szCs w:val="24"/>
          <w:lang w:eastAsia="el-GR"/>
        </w:rPr>
        <w:t> (Σολωμού και Κωνσταντινουπόλεως, Μοσχάτο) και έχει ως στόχο την ενημέρωση των μαθητών της Γ΄ τάξης των γενικών λυκείων σχετικά με τις σχολές της τριτοβάθμιας εκπαίδευσης, καθώς και με τη διαδικασία εισαγωγής σε αυτές.</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Επιπλέον, οι συμμετέχοντες θα ενημερωθούν για αποτελεσματικούς τρόπους διαχείρισης του άγχους και του χρόνου κατά την προετοιμασία για τις εξετάσεις, καθώς και για την οργάνωση της μελέτης τους.</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Η είσοδος είναι ελεύθερη.</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Σε ποιους απευθύνεται:</w:t>
      </w:r>
    </w:p>
    <w:p w:rsidR="00352F82" w:rsidRPr="00352F82" w:rsidRDefault="00352F82" w:rsidP="00352F82">
      <w:pPr>
        <w:numPr>
          <w:ilvl w:val="0"/>
          <w:numId w:val="1"/>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σε μαθητές της δευτεροβάθμιας εκπαίδευσης</w:t>
      </w:r>
    </w:p>
    <w:p w:rsidR="00352F82" w:rsidRPr="00352F82" w:rsidRDefault="00352F82" w:rsidP="00352F82">
      <w:pPr>
        <w:numPr>
          <w:ilvl w:val="0"/>
          <w:numId w:val="1"/>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σε γονείς</w:t>
      </w:r>
    </w:p>
    <w:p w:rsidR="00352F82" w:rsidRPr="00352F82" w:rsidRDefault="00352F82" w:rsidP="00352F82">
      <w:pPr>
        <w:numPr>
          <w:ilvl w:val="0"/>
          <w:numId w:val="1"/>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σε εκπαιδευτικούς</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Πρόγραμμα &amp; εισηγητές</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Τετάρτη 4 Μαρτίου 2026</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10:00–12:00 | Επαγγελματικός προσανατολισμός</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Εισηγητής: </w:t>
      </w:r>
      <w:hyperlink r:id="rId10" w:history="1">
        <w:r w:rsidRPr="00352F82">
          <w:rPr>
            <w:rFonts w:ascii="Helvetica" w:eastAsia="Times New Roman" w:hAnsi="Helvetica" w:cs="Times New Roman"/>
            <w:b/>
            <w:bCs/>
            <w:color w:val="BE1E2D"/>
            <w:sz w:val="24"/>
            <w:szCs w:val="24"/>
            <w:lang w:eastAsia="el-GR"/>
          </w:rPr>
          <w:t xml:space="preserve">Δρ. </w:t>
        </w:r>
        <w:proofErr w:type="spellStart"/>
        <w:r w:rsidRPr="00352F82">
          <w:rPr>
            <w:rFonts w:ascii="Helvetica" w:eastAsia="Times New Roman" w:hAnsi="Helvetica" w:cs="Times New Roman"/>
            <w:b/>
            <w:bCs/>
            <w:color w:val="BE1E2D"/>
            <w:sz w:val="24"/>
            <w:szCs w:val="24"/>
            <w:lang w:eastAsia="el-GR"/>
          </w:rPr>
          <w:t>Κότιος</w:t>
        </w:r>
        <w:proofErr w:type="spellEnd"/>
        <w:r w:rsidRPr="00352F82">
          <w:rPr>
            <w:rFonts w:ascii="Helvetica" w:eastAsia="Times New Roman" w:hAnsi="Helvetica" w:cs="Times New Roman"/>
            <w:b/>
            <w:bCs/>
            <w:color w:val="BE1E2D"/>
            <w:sz w:val="24"/>
            <w:szCs w:val="24"/>
            <w:lang w:eastAsia="el-GR"/>
          </w:rPr>
          <w:t xml:space="preserve"> Κωνσταντίνος</w:t>
        </w:r>
      </w:hyperlink>
      <w:r w:rsidRPr="00352F82">
        <w:rPr>
          <w:rFonts w:ascii="Helvetica" w:eastAsia="Times New Roman" w:hAnsi="Helvetica" w:cs="Times New Roman"/>
          <w:color w:val="6E6E6E"/>
          <w:sz w:val="24"/>
          <w:szCs w:val="24"/>
          <w:lang w:eastAsia="el-GR"/>
        </w:rPr>
        <w:t>, Σύμβουλος Εκπαίδευσης &amp; Καριέρας - Ιδρυτής </w:t>
      </w:r>
      <w:hyperlink r:id="rId11" w:tgtFrame="_blank" w:history="1">
        <w:r w:rsidRPr="00352F82">
          <w:rPr>
            <w:rFonts w:ascii="Helvetica" w:eastAsia="Times New Roman" w:hAnsi="Helvetica" w:cs="Times New Roman"/>
            <w:color w:val="BE1E2D"/>
            <w:sz w:val="24"/>
            <w:szCs w:val="24"/>
            <w:lang w:eastAsia="el-GR"/>
          </w:rPr>
          <w:t>LABORA</w:t>
        </w:r>
      </w:hyperlink>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 xml:space="preserve">Το σεμινάριο έχει </w:t>
      </w:r>
      <w:proofErr w:type="spellStart"/>
      <w:r w:rsidRPr="00352F82">
        <w:rPr>
          <w:rFonts w:ascii="Helvetica" w:eastAsia="Times New Roman" w:hAnsi="Helvetica" w:cs="Times New Roman"/>
          <w:color w:val="6E6E6E"/>
          <w:sz w:val="24"/>
          <w:szCs w:val="24"/>
          <w:lang w:eastAsia="el-GR"/>
        </w:rPr>
        <w:t>διαδραστικό</w:t>
      </w:r>
      <w:proofErr w:type="spellEnd"/>
      <w:r w:rsidRPr="00352F82">
        <w:rPr>
          <w:rFonts w:ascii="Helvetica" w:eastAsia="Times New Roman" w:hAnsi="Helvetica" w:cs="Times New Roman"/>
          <w:color w:val="6E6E6E"/>
          <w:sz w:val="24"/>
          <w:szCs w:val="24"/>
          <w:lang w:eastAsia="el-GR"/>
        </w:rPr>
        <w:t xml:space="preserve"> χαρακτήρα και στόχο να προσφέρει πρακτικά εργαλεία, απαντήσεις και μια ξεκάθαρη εικόνα για τις επιλογές που ανοίγονται μπροστά στους μαθητές. Περιλαμβάνει </w:t>
      </w:r>
      <w:proofErr w:type="spellStart"/>
      <w:r w:rsidRPr="00352F82">
        <w:rPr>
          <w:rFonts w:ascii="Helvetica" w:eastAsia="Times New Roman" w:hAnsi="Helvetica" w:cs="Times New Roman"/>
          <w:color w:val="6E6E6E"/>
          <w:sz w:val="24"/>
          <w:szCs w:val="24"/>
          <w:lang w:eastAsia="el-GR"/>
        </w:rPr>
        <w:t>στοχευμένη</w:t>
      </w:r>
      <w:proofErr w:type="spellEnd"/>
      <w:r w:rsidRPr="00352F82">
        <w:rPr>
          <w:rFonts w:ascii="Helvetica" w:eastAsia="Times New Roman" w:hAnsi="Helvetica" w:cs="Times New Roman"/>
          <w:color w:val="6E6E6E"/>
          <w:sz w:val="24"/>
          <w:szCs w:val="24"/>
          <w:lang w:eastAsia="el-GR"/>
        </w:rPr>
        <w:t xml:space="preserve"> ενημέρωση για τις νέες τάσεις στην αγορά εργασίας, καθώς και παρουσίαση των ευκαιριών που προσφέρει το σύστημα του Λυκείου και των δυνατοτήτων σπουδών στην Ελλάδα.</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Θα αναλυθούν τα εξής:</w:t>
      </w:r>
    </w:p>
    <w:p w:rsidR="00352F82" w:rsidRPr="00352F82" w:rsidRDefault="00352F82" w:rsidP="00352F82">
      <w:pPr>
        <w:numPr>
          <w:ilvl w:val="0"/>
          <w:numId w:val="2"/>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 xml:space="preserve">Επαγγέλματα σε </w:t>
      </w:r>
      <w:proofErr w:type="spellStart"/>
      <w:r w:rsidRPr="00352F82">
        <w:rPr>
          <w:rFonts w:ascii="Helvetica" w:eastAsia="Times New Roman" w:hAnsi="Helvetica" w:cs="Times New Roman"/>
          <w:b/>
          <w:bCs/>
          <w:color w:val="6E6E6E"/>
          <w:sz w:val="24"/>
          <w:szCs w:val="24"/>
          <w:lang w:eastAsia="el-GR"/>
        </w:rPr>
        <w:t>fast</w:t>
      </w:r>
      <w:proofErr w:type="spellEnd"/>
      <w:r w:rsidRPr="00352F82">
        <w:rPr>
          <w:rFonts w:ascii="Helvetica" w:eastAsia="Times New Roman" w:hAnsi="Helvetica" w:cs="Times New Roman"/>
          <w:b/>
          <w:bCs/>
          <w:color w:val="6E6E6E"/>
          <w:sz w:val="24"/>
          <w:szCs w:val="24"/>
          <w:lang w:eastAsia="el-GR"/>
        </w:rPr>
        <w:t xml:space="preserve"> </w:t>
      </w:r>
      <w:proofErr w:type="spellStart"/>
      <w:r w:rsidRPr="00352F82">
        <w:rPr>
          <w:rFonts w:ascii="Helvetica" w:eastAsia="Times New Roman" w:hAnsi="Helvetica" w:cs="Times New Roman"/>
          <w:b/>
          <w:bCs/>
          <w:color w:val="6E6E6E"/>
          <w:sz w:val="24"/>
          <w:szCs w:val="24"/>
          <w:lang w:eastAsia="el-GR"/>
        </w:rPr>
        <w:t>forward</w:t>
      </w:r>
      <w:proofErr w:type="spellEnd"/>
      <w:r w:rsidRPr="00352F82">
        <w:rPr>
          <w:rFonts w:ascii="Helvetica" w:eastAsia="Times New Roman" w:hAnsi="Helvetica" w:cs="Times New Roman"/>
          <w:b/>
          <w:bCs/>
          <w:color w:val="6E6E6E"/>
          <w:sz w:val="24"/>
          <w:szCs w:val="24"/>
          <w:lang w:eastAsia="el-GR"/>
        </w:rPr>
        <w:t>!</w:t>
      </w:r>
      <w:r w:rsidRPr="00352F82">
        <w:rPr>
          <w:rFonts w:ascii="Helvetica" w:eastAsia="Times New Roman" w:hAnsi="Helvetica" w:cs="Times New Roman"/>
          <w:color w:val="6E6E6E"/>
          <w:sz w:val="21"/>
          <w:szCs w:val="21"/>
          <w:lang w:eastAsia="el-GR"/>
        </w:rPr>
        <w:br/>
      </w:r>
      <w:r w:rsidRPr="00352F82">
        <w:rPr>
          <w:rFonts w:ascii="Helvetica" w:eastAsia="Times New Roman" w:hAnsi="Helvetica" w:cs="Times New Roman"/>
          <w:color w:val="6E6E6E"/>
          <w:sz w:val="24"/>
          <w:szCs w:val="24"/>
          <w:lang w:eastAsia="el-GR"/>
        </w:rPr>
        <w:t>Πώς αλλάζει η αγορά εργασίας; Ποια είναι τα νέα δεδομένα στα επαγγέλματα, με την ταχύτατη εξέλιξη της τεχνολογίας;</w:t>
      </w:r>
    </w:p>
    <w:p w:rsidR="00352F82" w:rsidRPr="00352F82" w:rsidRDefault="00352F82" w:rsidP="00352F82">
      <w:pPr>
        <w:numPr>
          <w:ilvl w:val="0"/>
          <w:numId w:val="2"/>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lastRenderedPageBreak/>
        <w:t>Σπουδές με προοπτική &amp; ειδικότητες με μέλλον!</w:t>
      </w:r>
      <w:r w:rsidRPr="00352F82">
        <w:rPr>
          <w:rFonts w:ascii="Helvetica" w:eastAsia="Times New Roman" w:hAnsi="Helvetica" w:cs="Times New Roman"/>
          <w:color w:val="6E6E6E"/>
          <w:sz w:val="21"/>
          <w:szCs w:val="21"/>
          <w:lang w:eastAsia="el-GR"/>
        </w:rPr>
        <w:br/>
      </w:r>
      <w:r w:rsidRPr="00352F82">
        <w:rPr>
          <w:rFonts w:ascii="Helvetica" w:eastAsia="Times New Roman" w:hAnsi="Helvetica" w:cs="Times New Roman"/>
          <w:color w:val="6E6E6E"/>
          <w:sz w:val="24"/>
          <w:szCs w:val="24"/>
          <w:lang w:eastAsia="el-GR"/>
        </w:rPr>
        <w:t>Ανακαλύπτουμε τα «</w:t>
      </w:r>
      <w:proofErr w:type="spellStart"/>
      <w:r w:rsidRPr="00352F82">
        <w:rPr>
          <w:rFonts w:ascii="Helvetica" w:eastAsia="Times New Roman" w:hAnsi="Helvetica" w:cs="Times New Roman"/>
          <w:color w:val="6E6E6E"/>
          <w:sz w:val="24"/>
          <w:szCs w:val="24"/>
          <w:lang w:eastAsia="el-GR"/>
        </w:rPr>
        <w:t>hot</w:t>
      </w:r>
      <w:proofErr w:type="spellEnd"/>
      <w:r w:rsidRPr="00352F82">
        <w:rPr>
          <w:rFonts w:ascii="Helvetica" w:eastAsia="Times New Roman" w:hAnsi="Helvetica" w:cs="Times New Roman"/>
          <w:color w:val="6E6E6E"/>
          <w:sz w:val="24"/>
          <w:szCs w:val="24"/>
          <w:lang w:eastAsia="el-GR"/>
        </w:rPr>
        <w:t>» επαγγέλματα της νέας εποχής και τις σχολές που οδηγούν σε αυτά – κατευθείαν από το Μηχανογραφικό.</w:t>
      </w:r>
    </w:p>
    <w:p w:rsidR="00352F82" w:rsidRPr="00352F82" w:rsidRDefault="00352F82" w:rsidP="00352F82">
      <w:pPr>
        <w:numPr>
          <w:ilvl w:val="0"/>
          <w:numId w:val="2"/>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Έξυπνες επιλογές ανά Επιστημονικό Πεδίο και Τομέα</w:t>
      </w:r>
      <w:r w:rsidRPr="00352F82">
        <w:rPr>
          <w:rFonts w:ascii="Helvetica" w:eastAsia="Times New Roman" w:hAnsi="Helvetica" w:cs="Times New Roman"/>
          <w:color w:val="6E6E6E"/>
          <w:sz w:val="21"/>
          <w:szCs w:val="21"/>
          <w:lang w:eastAsia="el-GR"/>
        </w:rPr>
        <w:br/>
      </w:r>
      <w:r w:rsidRPr="00352F82">
        <w:rPr>
          <w:rFonts w:ascii="Helvetica" w:eastAsia="Times New Roman" w:hAnsi="Helvetica" w:cs="Times New Roman"/>
          <w:color w:val="6E6E6E"/>
          <w:sz w:val="24"/>
          <w:szCs w:val="24"/>
          <w:lang w:eastAsia="el-GR"/>
        </w:rPr>
        <w:t>Οι στρατηγικές επιλογές που κάνουν τη διαφορά, γιατί δεν είναι όλες οι σχολές ίδιες ούτε οι δρόμοι ίσοι.</w:t>
      </w:r>
    </w:p>
    <w:p w:rsidR="00352F82" w:rsidRPr="00352F82" w:rsidRDefault="00352F82" w:rsidP="00352F82">
      <w:pPr>
        <w:numPr>
          <w:ilvl w:val="0"/>
          <w:numId w:val="2"/>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Σχολές – έκπληξη: Τα διαμάντια που λίγοι βλέπουν!</w:t>
      </w:r>
      <w:r w:rsidRPr="00352F82">
        <w:rPr>
          <w:rFonts w:ascii="Helvetica" w:eastAsia="Times New Roman" w:hAnsi="Helvetica" w:cs="Times New Roman"/>
          <w:color w:val="6E6E6E"/>
          <w:sz w:val="21"/>
          <w:szCs w:val="21"/>
          <w:lang w:eastAsia="el-GR"/>
        </w:rPr>
        <w:br/>
      </w:r>
      <w:r w:rsidRPr="00352F82">
        <w:rPr>
          <w:rFonts w:ascii="Helvetica" w:eastAsia="Times New Roman" w:hAnsi="Helvetica" w:cs="Times New Roman"/>
          <w:color w:val="6E6E6E"/>
          <w:sz w:val="24"/>
          <w:szCs w:val="24"/>
          <w:lang w:eastAsia="el-GR"/>
        </w:rPr>
        <w:t>Ποιες σχολές δεν βρίσκονται στην «πρώτη γραμμή», αλλά κρύβουν σημαντικές ευκαιρίες; Ανακάλυψέ τες!</w:t>
      </w:r>
    </w:p>
    <w:p w:rsidR="00352F82" w:rsidRPr="00352F82" w:rsidRDefault="00352F82" w:rsidP="00352F82">
      <w:pPr>
        <w:numPr>
          <w:ilvl w:val="0"/>
          <w:numId w:val="2"/>
        </w:numPr>
        <w:shd w:val="clear" w:color="auto" w:fill="FFFFFF"/>
        <w:spacing w:after="0" w:line="300" w:lineRule="atLeast"/>
        <w:ind w:left="375"/>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Ανακαλύπτω τι μου ταιριάζει: επιλέγω με βάση τα δικά μου κριτήρια</w:t>
      </w:r>
      <w:r w:rsidRPr="00352F82">
        <w:rPr>
          <w:rFonts w:ascii="Helvetica" w:eastAsia="Times New Roman" w:hAnsi="Helvetica" w:cs="Times New Roman"/>
          <w:color w:val="6E6E6E"/>
          <w:sz w:val="21"/>
          <w:szCs w:val="21"/>
          <w:lang w:eastAsia="el-GR"/>
        </w:rPr>
        <w:br/>
      </w:r>
      <w:r w:rsidRPr="00352F82">
        <w:rPr>
          <w:rFonts w:ascii="Helvetica" w:eastAsia="Times New Roman" w:hAnsi="Helvetica" w:cs="Times New Roman"/>
          <w:color w:val="6E6E6E"/>
          <w:sz w:val="24"/>
          <w:szCs w:val="24"/>
          <w:lang w:eastAsia="el-GR"/>
        </w:rPr>
        <w:t>Πώς επιλέγω σπουδές με βάση τις κλίσεις, τα ενδιαφέροντα και τις δεξιότητές μου;</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12:15–13:00 | Συμβουλευτική</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b/>
          <w:bCs/>
          <w:color w:val="6E6E6E"/>
          <w:sz w:val="24"/>
          <w:szCs w:val="24"/>
          <w:lang w:eastAsia="el-GR"/>
        </w:rPr>
        <w:t>Εισηγήτρια:</w:t>
      </w:r>
      <w:r w:rsidRPr="00352F82">
        <w:rPr>
          <w:rFonts w:ascii="Helvetica" w:eastAsia="Times New Roman" w:hAnsi="Helvetica" w:cs="Times New Roman"/>
          <w:color w:val="6E6E6E"/>
          <w:sz w:val="24"/>
          <w:szCs w:val="24"/>
          <w:lang w:eastAsia="el-GR"/>
        </w:rPr>
        <w:t> </w:t>
      </w:r>
      <w:hyperlink r:id="rId12" w:history="1">
        <w:r w:rsidRPr="00352F82">
          <w:rPr>
            <w:rFonts w:ascii="Helvetica" w:eastAsia="Times New Roman" w:hAnsi="Helvetica" w:cs="Times New Roman"/>
            <w:b/>
            <w:bCs/>
            <w:color w:val="BE1E2D"/>
            <w:sz w:val="24"/>
            <w:szCs w:val="24"/>
            <w:lang w:eastAsia="el-GR"/>
          </w:rPr>
          <w:t>Ροζαλία Αγγελάκη</w:t>
        </w:r>
      </w:hyperlink>
      <w:r w:rsidRPr="00352F82">
        <w:rPr>
          <w:rFonts w:ascii="Helvetica" w:eastAsia="Times New Roman" w:hAnsi="Helvetica" w:cs="Times New Roman"/>
          <w:color w:val="6E6E6E"/>
          <w:sz w:val="24"/>
          <w:szCs w:val="24"/>
          <w:lang w:eastAsia="el-GR"/>
        </w:rPr>
        <w:t>, Σύμβουλος Σταδιοδρομίας &amp; Επαγγελματικού Προσανατολισμού, </w:t>
      </w:r>
      <w:hyperlink r:id="rId13" w:history="1">
        <w:r w:rsidRPr="00352F82">
          <w:rPr>
            <w:rFonts w:ascii="Helvetica" w:eastAsia="Times New Roman" w:hAnsi="Helvetica" w:cs="Times New Roman"/>
            <w:color w:val="BE1E2D"/>
            <w:sz w:val="24"/>
            <w:szCs w:val="24"/>
            <w:lang w:eastAsia="el-GR"/>
          </w:rPr>
          <w:t>Γραφείο Διασύνδεσης ΕΚΠΑ</w:t>
        </w:r>
      </w:hyperlink>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Κατά την παρουσίαση της ενότητας </w:t>
      </w:r>
      <w:r w:rsidRPr="00352F82">
        <w:rPr>
          <w:rFonts w:ascii="Helvetica" w:eastAsia="Times New Roman" w:hAnsi="Helvetica" w:cs="Times New Roman"/>
          <w:b/>
          <w:bCs/>
          <w:color w:val="6E6E6E"/>
          <w:sz w:val="24"/>
          <w:szCs w:val="24"/>
          <w:lang w:eastAsia="el-GR"/>
        </w:rPr>
        <w:t>«Διαχείριση άγχους και χρόνου μελέτης»</w:t>
      </w:r>
      <w:r w:rsidRPr="00352F82">
        <w:rPr>
          <w:rFonts w:ascii="Helvetica" w:eastAsia="Times New Roman" w:hAnsi="Helvetica" w:cs="Times New Roman"/>
          <w:color w:val="6E6E6E"/>
          <w:sz w:val="24"/>
          <w:szCs w:val="24"/>
          <w:lang w:eastAsia="el-GR"/>
        </w:rPr>
        <w:t>, οι μαθητές θα ενημερωθούν για το πώς η μείωση του άγχους και η σωστή διαχείριση του χρόνου μπορούν να ενισχύσουν τη διαδικασία της μελέτης και να βελτιώσουν την απόδοση στις εξετάσεις. Μέσα από τεχνικές χαλάρωσης και πρακτικές στρατηγικές οργάνωσης, οι συμμετέχοντες θα εξοπλιστούν με τα κατάλληλα εργαλεία ώστε να αντεπεξέρχονται αποτελεσματικότερα στις απαιτήσεις της καθημερινότητας και των εξεταστικών περιόδων.</w:t>
      </w:r>
    </w:p>
    <w:p w:rsidR="00352F82" w:rsidRPr="00352F82" w:rsidRDefault="00352F82" w:rsidP="00352F82">
      <w:pPr>
        <w:shd w:val="clear" w:color="auto" w:fill="FFFFFF"/>
        <w:spacing w:after="225" w:line="240" w:lineRule="auto"/>
        <w:jc w:val="both"/>
        <w:rPr>
          <w:rFonts w:ascii="Helvetica" w:eastAsia="Times New Roman" w:hAnsi="Helvetica" w:cs="Times New Roman"/>
          <w:color w:val="6E6E6E"/>
          <w:sz w:val="21"/>
          <w:szCs w:val="21"/>
          <w:lang w:eastAsia="el-GR"/>
        </w:rPr>
      </w:pPr>
      <w:r w:rsidRPr="00352F82">
        <w:rPr>
          <w:rFonts w:ascii="Helvetica" w:eastAsia="Times New Roman" w:hAnsi="Helvetica" w:cs="Times New Roman"/>
          <w:color w:val="6E6E6E"/>
          <w:sz w:val="24"/>
          <w:szCs w:val="24"/>
          <w:lang w:eastAsia="el-GR"/>
        </w:rPr>
        <w:t>Κατά τη διάρκεια, αλλά και μετά το πέρας του σεμιναρίου, οι εισηγητές θα βρίσκονται στη διάθεση των συμμετεχόντων για ερωτήσεις.</w:t>
      </w:r>
    </w:p>
    <w:p w:rsidR="00003065" w:rsidRDefault="00003065"/>
    <w:sectPr w:rsidR="00003065" w:rsidSect="000030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B0E"/>
    <w:multiLevelType w:val="multilevel"/>
    <w:tmpl w:val="3F5C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36CAE"/>
    <w:multiLevelType w:val="multilevel"/>
    <w:tmpl w:val="4F94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F82"/>
    <w:rsid w:val="00003065"/>
    <w:rsid w:val="00352F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0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2F8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352F82"/>
    <w:rPr>
      <w:color w:val="0000FF"/>
      <w:u w:val="single"/>
    </w:rPr>
  </w:style>
  <w:style w:type="character" w:styleId="a3">
    <w:name w:val="Strong"/>
    <w:basedOn w:val="a0"/>
    <w:uiPriority w:val="22"/>
    <w:qFormat/>
    <w:rsid w:val="00352F82"/>
    <w:rPr>
      <w:b/>
      <w:bCs/>
    </w:rPr>
  </w:style>
  <w:style w:type="paragraph" w:styleId="a4">
    <w:name w:val="Balloon Text"/>
    <w:basedOn w:val="a"/>
    <w:link w:val="Char"/>
    <w:uiPriority w:val="99"/>
    <w:semiHidden/>
    <w:unhideWhenUsed/>
    <w:rsid w:val="00352F8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52F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4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reer.uoa.gr/" TargetMode="External"/><Relationship Id="rId3" Type="http://schemas.openxmlformats.org/officeDocument/2006/relationships/settings" Target="settings.xml"/><Relationship Id="rId7" Type="http://schemas.openxmlformats.org/officeDocument/2006/relationships/hyperlink" Target="https://www.skywalker.gr/" TargetMode="External"/><Relationship Id="rId12" Type="http://schemas.openxmlformats.org/officeDocument/2006/relationships/hyperlink" Target="https://www.careerpathyouth.gr/careerpathyouth-dimos-mosxatou26-omilites/careerpathyouth-dimos-mosxatou26-omilites-aggelaki-roza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abora.gr/" TargetMode="External"/><Relationship Id="rId5" Type="http://schemas.openxmlformats.org/officeDocument/2006/relationships/hyperlink" Target="https://www.dimosmoschatou-tavrou.gr/" TargetMode="External"/><Relationship Id="rId15" Type="http://schemas.openxmlformats.org/officeDocument/2006/relationships/theme" Target="theme/theme1.xml"/><Relationship Id="rId10" Type="http://schemas.openxmlformats.org/officeDocument/2006/relationships/hyperlink" Target="https://www.careerpathyouth.gr/careerpathyouth-dimos-mosxatou26-omilites/careerpathyouth-dimos-mosxatou26-omilites-kotios-konstantinos" TargetMode="External"/><Relationship Id="rId4" Type="http://schemas.openxmlformats.org/officeDocument/2006/relationships/webSettings" Target="webSettings.xml"/><Relationship Id="rId9" Type="http://schemas.openxmlformats.org/officeDocument/2006/relationships/hyperlink" Target="https://skywalker.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2907</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2026-02-25T09:16:00Z</dcterms:created>
  <dcterms:modified xsi:type="dcterms:W3CDTF">2026-02-25T09:18:00Z</dcterms:modified>
</cp:coreProperties>
</file>